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Rasa" w:cs="Rasa" w:eastAsia="Rasa" w:hAnsi="Rasa"/>
          <w:b w:val="1"/>
          <w:color w:val="00000a"/>
          <w:sz w:val="20"/>
          <w:szCs w:val="20"/>
        </w:rPr>
      </w:pPr>
      <w:r w:rsidDel="00000000" w:rsidR="00000000" w:rsidRPr="00000000">
        <w:rPr>
          <w:rFonts w:ascii="Rasa" w:cs="Rasa" w:eastAsia="Rasa" w:hAnsi="Rasa"/>
          <w:b w:val="1"/>
          <w:sz w:val="20"/>
          <w:szCs w:val="20"/>
        </w:rPr>
        <w:drawing>
          <wp:inline distB="0" distT="0" distL="0" distR="0">
            <wp:extent cx="457700" cy="514033"/>
            <wp:effectExtent b="0" l="0" r="0" t="0"/>
            <wp:docPr id="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7700" cy="51403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0" w:line="240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a"/>
          <w:sz w:val="20"/>
          <w:szCs w:val="20"/>
          <w:rtl w:val="0"/>
        </w:rPr>
        <w:t xml:space="preserve">MINISTÉRIO DA DEFESA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0" w:line="240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a"/>
          <w:sz w:val="20"/>
          <w:szCs w:val="20"/>
          <w:rtl w:val="0"/>
        </w:rPr>
        <w:t xml:space="preserve">EXÉRCITO BRASILEIRO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before="0" w:line="240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a"/>
          <w:sz w:val="20"/>
          <w:szCs w:val="20"/>
          <w:rtl w:val="0"/>
        </w:rPr>
        <w:t xml:space="preserve">1ª BRIGADA DE ARTILHARIA ANTIAÉREA (1980)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before="0" w:line="240" w:lineRule="auto"/>
        <w:jc w:val="center"/>
        <w:rPr>
          <w:rFonts w:ascii="Times New Roman" w:cs="Times New Roman" w:eastAsia="Times New Roman" w:hAnsi="Times New Roman"/>
          <w:i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00000a"/>
          <w:sz w:val="20"/>
          <w:szCs w:val="20"/>
          <w:rtl w:val="0"/>
        </w:rPr>
        <w:t xml:space="preserve">(BRIGADA GENERAL SAMUEL TEIXEIRA PRIMO)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before="0" w:line="240" w:lineRule="auto"/>
        <w:jc w:val="center"/>
        <w:rPr>
          <w:rFonts w:ascii="Times New Roman" w:cs="Times New Roman" w:eastAsia="Times New Roman" w:hAnsi="Times New Roman"/>
          <w:b w:val="1"/>
          <w:i w:val="1"/>
          <w:color w:val="00000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PROCESSO ADMINISTRATIVO nº 64265.002932/2023-63 - PREGÃO Nº 06/2023</w:t>
      </w:r>
    </w:p>
    <w:p w:rsidR="00000000" w:rsidDel="00000000" w:rsidP="00000000" w:rsidRDefault="00000000" w:rsidRPr="00000000" w14:paraId="00000008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highlight w:val="white"/>
          <w:rtl w:val="0"/>
        </w:rPr>
        <w:t xml:space="preserve">SERVIÇOS DE RESTAURAÇÃO DA ESTAÇÃO DE TRATAMENTO DE ESGOTO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u w:val="single"/>
          <w:rtl w:val="0"/>
        </w:rPr>
        <w:t xml:space="preserve">APÊNDICE II AO TERMO DE REFERÊNCIA</w:t>
      </w:r>
    </w:p>
    <w:p w:rsidR="00000000" w:rsidDel="00000000" w:rsidP="00000000" w:rsidRDefault="00000000" w:rsidRPr="00000000" w14:paraId="0000000B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00" w:before="0" w:line="276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u w:val="single"/>
          <w:rtl w:val="0"/>
        </w:rPr>
        <w:t xml:space="preserve">MODELO DE INSTRUMENTO DE MEDIÇÃO DE RESULTADO (IMR)</w:t>
      </w:r>
      <w:r w:rsidDel="00000000" w:rsidR="00000000" w:rsidRPr="00000000">
        <w:rPr>
          <w:rtl w:val="0"/>
        </w:rPr>
      </w:r>
    </w:p>
    <w:tbl>
      <w:tblPr>
        <w:tblStyle w:val="Table1"/>
        <w:tblW w:w="9638.0" w:type="dxa"/>
        <w:jc w:val="left"/>
        <w:tblInd w:w="-10.0" w:type="dxa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  <w:insideH w:color="00000a" w:space="0" w:sz="4" w:val="single"/>
          <w:insideV w:color="00000a" w:space="0" w:sz="4" w:val="single"/>
        </w:tblBorders>
        <w:tblLayout w:type="fixed"/>
        <w:tblLook w:val="0000"/>
      </w:tblPr>
      <w:tblGrid>
        <w:gridCol w:w="3051"/>
        <w:gridCol w:w="6587"/>
        <w:tblGridChange w:id="0">
          <w:tblGrid>
            <w:gridCol w:w="3051"/>
            <w:gridCol w:w="6587"/>
          </w:tblGrid>
        </w:tblGridChange>
      </w:tblGrid>
      <w:tr>
        <w:trPr>
          <w:cantSplit w:val="0"/>
          <w:trHeight w:val="195" w:hRule="atLeast"/>
          <w:tblHeader w:val="0"/>
        </w:trPr>
        <w:tc>
          <w:tcPr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0"/>
                <w:szCs w:val="20"/>
                <w:rtl w:val="0"/>
              </w:rPr>
              <w:t xml:space="preserve">Indicador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0"/>
                <w:szCs w:val="20"/>
                <w:rtl w:val="0"/>
              </w:rPr>
              <w:t xml:space="preserve">Nº 01 - Prazo de atendimento de demandas (OS)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0"/>
                <w:szCs w:val="20"/>
                <w:rtl w:val="0"/>
              </w:rPr>
              <w:t xml:space="preserve">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0"/>
                <w:szCs w:val="20"/>
                <w:rtl w:val="0"/>
              </w:rPr>
              <w:t xml:space="preserve">Descrição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5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0"/>
                <w:szCs w:val="20"/>
                <w:rtl w:val="0"/>
              </w:rPr>
              <w:t xml:space="preserve">Finalidade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0"/>
                <w:szCs w:val="20"/>
                <w:rtl w:val="0"/>
              </w:rPr>
              <w:t xml:space="preserve">Garantir um atendimento célere às demandas do órgão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0"/>
                <w:szCs w:val="20"/>
                <w:rtl w:val="0"/>
              </w:rPr>
              <w:t xml:space="preserve">Meta a cumprir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0"/>
                <w:szCs w:val="20"/>
                <w:rtl w:val="0"/>
              </w:rPr>
              <w:t xml:space="preserve">100% das chamadas atendidas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0"/>
                <w:szCs w:val="20"/>
                <w:rtl w:val="0"/>
              </w:rPr>
              <w:t xml:space="preserve">Instrumento de medição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0"/>
                <w:szCs w:val="20"/>
                <w:rtl w:val="0"/>
              </w:rPr>
              <w:t xml:space="preserve">Ordem de Serviço (OS) e Livro de ocorrências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0"/>
                <w:szCs w:val="20"/>
                <w:rtl w:val="0"/>
              </w:rPr>
              <w:t xml:space="preserve">Forma de acompanhamento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0"/>
                <w:szCs w:val="20"/>
                <w:rtl w:val="0"/>
              </w:rPr>
              <w:t xml:space="preserve">Relatórios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0"/>
                <w:szCs w:val="20"/>
                <w:rtl w:val="0"/>
              </w:rPr>
              <w:t xml:space="preserve">Periodicidade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spacing w:after="0" w:before="0" w:line="240" w:lineRule="auto"/>
              <w:rPr>
                <w:rFonts w:ascii="Times New Roman" w:cs="Times New Roman" w:eastAsia="Times New Roman" w:hAnsi="Times New Roman"/>
                <w:color w:val="00000a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0"/>
                <w:szCs w:val="20"/>
                <w:rtl w:val="0"/>
              </w:rPr>
              <w:t xml:space="preserve">mensal</w:t>
            </w:r>
          </w:p>
        </w:tc>
      </w:tr>
      <w:tr>
        <w:trPr>
          <w:cantSplit w:val="0"/>
          <w:trHeight w:val="225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0"/>
                <w:szCs w:val="20"/>
                <w:rtl w:val="0"/>
              </w:rPr>
              <w:t xml:space="preserve">Mecanismo de Cálculo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0"/>
                <w:szCs w:val="20"/>
                <w:rtl w:val="0"/>
              </w:rPr>
              <w:t xml:space="preserve">Percentual de atendimento sobre o total de chamadas ocorridas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5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0"/>
                <w:szCs w:val="20"/>
                <w:rtl w:val="0"/>
              </w:rPr>
              <w:t xml:space="preserve">Início da Vigência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spacing w:after="0" w:before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0"/>
                <w:szCs w:val="20"/>
                <w:rtl w:val="0"/>
              </w:rPr>
              <w:t xml:space="preserve">Data de inicio da vigência do contrato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6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0"/>
                <w:szCs w:val="20"/>
                <w:rtl w:val="0"/>
              </w:rPr>
              <w:t xml:space="preserve">Faixas de ajuste no pagamento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0"/>
                <w:szCs w:val="20"/>
                <w:rtl w:val="0"/>
              </w:rPr>
              <w:t xml:space="preserve">100% atendimento do valor da OS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0"/>
                <w:szCs w:val="20"/>
                <w:rtl w:val="0"/>
              </w:rPr>
              <w:t xml:space="preserve">Abaixo de 100% não haverá pagamento proporcional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0"/>
                <w:szCs w:val="20"/>
                <w:rtl w:val="0"/>
              </w:rPr>
              <w:t xml:space="preserve">Sanções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Até 90% da meta - Advertência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0.0" w:type="dxa"/>
            </w:tcMar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 80% a 89% da meta - Multa, de acordo com o percentual previsto no subitem nº 18.2.2 deste TR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0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 50% a 79% da meta - Suspensão/Impedimento de contratar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0.0" w:type="dxa"/>
            </w:tcMar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Abaixo de 50% meta - Rescisão de contrato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0"/>
                <w:szCs w:val="20"/>
                <w:rtl w:val="0"/>
              </w:rPr>
              <w:t xml:space="preserve">Observações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57" w:before="57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E">
      <w:pPr>
        <w:rPr>
          <w:rFonts w:ascii="Times New Roman" w:cs="Times New Roman" w:eastAsia="Times New Roman" w:hAnsi="Times New Roman"/>
          <w:color w:val="00000a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38.0" w:type="dxa"/>
        <w:jc w:val="left"/>
        <w:tblInd w:w="-5.0" w:type="dxa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  <w:insideH w:color="00000a" w:space="0" w:sz="4" w:val="single"/>
          <w:insideV w:color="00000a" w:space="0" w:sz="4" w:val="single"/>
        </w:tblBorders>
        <w:tblLayout w:type="fixed"/>
        <w:tblLook w:val="0000"/>
      </w:tblPr>
      <w:tblGrid>
        <w:gridCol w:w="3051"/>
        <w:gridCol w:w="6587"/>
        <w:tblGridChange w:id="0">
          <w:tblGrid>
            <w:gridCol w:w="3051"/>
            <w:gridCol w:w="6587"/>
          </w:tblGrid>
        </w:tblGridChange>
      </w:tblGrid>
      <w:tr>
        <w:trPr>
          <w:cantSplit w:val="0"/>
          <w:trHeight w:val="255" w:hRule="atLeast"/>
          <w:tblHeader w:val="0"/>
        </w:trPr>
        <w:tc>
          <w:tcPr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5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0"/>
                <w:szCs w:val="20"/>
                <w:rtl w:val="0"/>
              </w:rPr>
              <w:t xml:space="preserve">Indicador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5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0"/>
                <w:szCs w:val="20"/>
                <w:rtl w:val="0"/>
              </w:rPr>
              <w:t xml:space="preserve">Nº 02 - Pontualidade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5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0"/>
                <w:szCs w:val="20"/>
                <w:rtl w:val="0"/>
              </w:rPr>
              <w:t xml:space="preserve">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5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0"/>
                <w:szCs w:val="20"/>
                <w:rtl w:val="0"/>
              </w:rPr>
              <w:t xml:space="preserve">Descrição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5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5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0"/>
                <w:szCs w:val="20"/>
                <w:rtl w:val="0"/>
              </w:rPr>
              <w:t xml:space="preserve">Finalidade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5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0"/>
                <w:szCs w:val="20"/>
                <w:rtl w:val="0"/>
              </w:rPr>
              <w:t xml:space="preserve">Garantir a execução dos serviços dentro do prazo previsto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5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0"/>
                <w:szCs w:val="20"/>
                <w:rtl w:val="0"/>
              </w:rPr>
              <w:t xml:space="preserve">Meta a cumprir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5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spacing w:after="57" w:before="57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0"/>
                <w:szCs w:val="20"/>
                <w:rtl w:val="0"/>
              </w:rPr>
              <w:t xml:space="preserve">100% da execução do serviço dentro do prazo previsto no cronograma físico-financeiro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5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0"/>
                <w:szCs w:val="20"/>
                <w:rtl w:val="0"/>
              </w:rPr>
              <w:t xml:space="preserve">Instrumento de medição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5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0"/>
                <w:szCs w:val="20"/>
                <w:rtl w:val="0"/>
              </w:rPr>
              <w:t xml:space="preserve">Unidade de fornecimento do Edital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5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0"/>
                <w:szCs w:val="20"/>
                <w:rtl w:val="0"/>
              </w:rPr>
              <w:t xml:space="preserve">Forma de acompanhamento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5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0"/>
                <w:szCs w:val="20"/>
                <w:rtl w:val="0"/>
              </w:rPr>
              <w:t xml:space="preserve">Inspeção do serviço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5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0"/>
                <w:szCs w:val="20"/>
                <w:rtl w:val="0"/>
              </w:rPr>
              <w:t xml:space="preserve">Periodicidade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5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spacing w:after="0" w:before="0" w:line="240" w:lineRule="auto"/>
              <w:rPr>
                <w:rFonts w:ascii="Times New Roman" w:cs="Times New Roman" w:eastAsia="Times New Roman" w:hAnsi="Times New Roman"/>
                <w:color w:val="00000a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0"/>
                <w:szCs w:val="20"/>
                <w:rtl w:val="0"/>
              </w:rPr>
              <w:t xml:space="preserve">mensal</w:t>
            </w:r>
          </w:p>
        </w:tc>
      </w:tr>
      <w:tr>
        <w:trPr>
          <w:cantSplit w:val="0"/>
          <w:trHeight w:val="225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5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0"/>
                <w:szCs w:val="20"/>
                <w:rtl w:val="0"/>
              </w:rPr>
              <w:t xml:space="preserve">Mecanismo de Cálculo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5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0"/>
                <w:szCs w:val="20"/>
                <w:rtl w:val="0"/>
              </w:rPr>
              <w:t xml:space="preserve">Percentual de execução do serviço, conforme prazos estabelecidos no cronograma físico-financeiro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5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5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0"/>
                <w:szCs w:val="20"/>
                <w:rtl w:val="0"/>
              </w:rPr>
              <w:t xml:space="preserve">Início da Vigência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5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spacing w:after="0" w:before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0"/>
                <w:szCs w:val="20"/>
                <w:rtl w:val="0"/>
              </w:rPr>
              <w:t xml:space="preserve">Data de inicio da vigência do contrato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6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5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0"/>
                <w:szCs w:val="20"/>
                <w:rtl w:val="0"/>
              </w:rPr>
              <w:t xml:space="preserve">Faixas de ajuste no pagamento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5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0"/>
                <w:szCs w:val="20"/>
                <w:rtl w:val="0"/>
              </w:rPr>
              <w:t xml:space="preserve">100% da meta do valor da OS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0"/>
                <w:szCs w:val="20"/>
                <w:rtl w:val="0"/>
              </w:rPr>
              <w:t xml:space="preserve">Abaixo de 100% não haverá pagamento proporcional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5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0"/>
                <w:szCs w:val="20"/>
                <w:rtl w:val="0"/>
              </w:rPr>
              <w:t xml:space="preserve">Sanções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5.0" w:type="dxa"/>
            </w:tcMar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 35% a 44,99% da meta - Advertência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5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5.0" w:type="dxa"/>
            </w:tcMar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 45% a 69,99% da meta - Multa de de acordo com o percentual previsto no subitem nº 18.2.2 deste TR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5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5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 70% a 80% da meta - Suspensão/Impedimento de contratar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5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5.0" w:type="dxa"/>
            </w:tcMar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Acima de 80% da meta - Rescisão de contrato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5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0"/>
                <w:szCs w:val="20"/>
                <w:rtl w:val="0"/>
              </w:rPr>
              <w:t xml:space="preserve">Observações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5.0" w:type="dxa"/>
            </w:tcMar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0">
      <w:pPr>
        <w:spacing w:after="200" w:before="0" w:line="276" w:lineRule="auto"/>
        <w:jc w:val="left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426" w:top="709" w:left="1134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Liberation Sans"/>
  <w:font w:name="Rasa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color w:val="00000a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Normal" w:default="1">
    <w:name w:val="Normal"/>
    <w:qFormat w:val="1"/>
    <w:pPr>
      <w:widowControl w:val="1"/>
      <w:suppressAutoHyphens w:val="0"/>
      <w:bidi w:val="0"/>
      <w:spacing w:after="160" w:before="0" w:line="259" w:lineRule="auto"/>
      <w:jc w:val="left"/>
    </w:pPr>
    <w:rPr>
      <w:rFonts w:ascii="Calibri" w:cs="" w:eastAsia="Calibri" w:hAnsi="Calibri" w:asciiTheme="minorHAnsi" w:cstheme="minorBidi" w:eastAsiaTheme="minorHAnsi" w:hAnsiTheme="minorHAnsi"/>
      <w:color w:val="00000a"/>
      <w:sz w:val="22"/>
      <w:szCs w:val="22"/>
      <w:lang w:bidi="ar-SA" w:eastAsia="en-US" w:val="pt-BR"/>
    </w:rPr>
  </w:style>
  <w:style w:type="character" w:styleId="DefaultParagraphFont" w:default="1">
    <w:name w:val="Default Paragraph Font"/>
    <w:uiPriority w:val="1"/>
    <w:semiHidden w:val="1"/>
    <w:unhideWhenUsed w:val="1"/>
    <w:qFormat w:val="1"/>
    <w:rPr/>
  </w:style>
  <w:style w:type="character" w:styleId="CitaoChar" w:customStyle="1">
    <w:name w:val="Citação Char"/>
    <w:basedOn w:val="DefaultParagraphFont"/>
    <w:link w:val="Citao"/>
    <w:uiPriority w:val="29"/>
    <w:qFormat w:val="1"/>
    <w:rsid w:val="00C022A3"/>
    <w:rPr>
      <w:rFonts w:ascii="Times New Roman" w:hAnsi="Times New Roman"/>
      <w:iCs w:val="1"/>
      <w:color w:val="000000" w:themeColor="text1"/>
      <w:sz w:val="20"/>
    </w:rPr>
  </w:style>
  <w:style w:type="character" w:styleId="Annotationreference">
    <w:name w:val="annotation reference"/>
    <w:basedOn w:val="DefaultParagraphFont"/>
    <w:uiPriority w:val="99"/>
    <w:semiHidden w:val="1"/>
    <w:unhideWhenUsed w:val="1"/>
    <w:qFormat w:val="1"/>
    <w:rsid w:val="00CF7849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Textodecomentrio"/>
    <w:uiPriority w:val="99"/>
    <w:semiHidden w:val="1"/>
    <w:qFormat w:val="1"/>
    <w:rsid w:val="00CF7849"/>
    <w:rPr>
      <w:sz w:val="20"/>
      <w:szCs w:val="20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qFormat w:val="1"/>
    <w:rsid w:val="00CF7849"/>
    <w:rPr>
      <w:b w:val="1"/>
      <w:bCs w:val="1"/>
      <w:sz w:val="20"/>
      <w:szCs w:val="20"/>
    </w:rPr>
  </w:style>
  <w:style w:type="character" w:styleId="TextodebaloChar" w:customStyle="1">
    <w:name w:val="Texto de balão Char"/>
    <w:basedOn w:val="DefaultParagraphFont"/>
    <w:link w:val="Textodebalo"/>
    <w:uiPriority w:val="99"/>
    <w:semiHidden w:val="1"/>
    <w:qFormat w:val="1"/>
    <w:rsid w:val="00CF7849"/>
    <w:rPr>
      <w:rFonts w:ascii="Segoe UI" w:cs="Segoe UI" w:hAnsi="Segoe UI"/>
      <w:sz w:val="18"/>
      <w:szCs w:val="18"/>
    </w:rPr>
  </w:style>
  <w:style w:type="character" w:styleId="Fontepargpadro">
    <w:name w:val="Fonte parág. padrão"/>
    <w:qFormat w:val="1"/>
    <w:rPr/>
  </w:style>
  <w:style w:type="paragraph" w:styleId="Ttulo">
    <w:name w:val="Título"/>
    <w:basedOn w:val="Normal"/>
    <w:next w:val="Corpodetexto"/>
    <w:qFormat w:val="1"/>
    <w:pPr>
      <w:keepNext w:val="1"/>
      <w:spacing w:after="120" w:before="240"/>
    </w:pPr>
    <w:rPr>
      <w:rFonts w:ascii="Liberation Sans" w:cs="FreeSans" w:eastAsia="Noto Sans CJK SC Regular" w:hAnsi="Liberation Sans"/>
      <w:sz w:val="28"/>
      <w:szCs w:val="28"/>
    </w:rPr>
  </w:style>
  <w:style w:type="paragraph" w:styleId="Corpodetexto">
    <w:name w:val="Body Text"/>
    <w:basedOn w:val="Normal"/>
    <w:pPr>
      <w:spacing w:after="140" w:before="0" w:line="288" w:lineRule="auto"/>
    </w:pPr>
    <w:rPr/>
  </w:style>
  <w:style w:type="paragraph" w:styleId="Lista">
    <w:name w:val="List"/>
    <w:basedOn w:val="Corpodetexto"/>
    <w:pPr/>
    <w:rPr>
      <w:rFonts w:cs="FreeSans"/>
    </w:rPr>
  </w:style>
  <w:style w:type="paragraph" w:styleId="Legenda">
    <w:name w:val="Caption"/>
    <w:basedOn w:val="Normal"/>
    <w:qFormat w:val="1"/>
    <w:pPr>
      <w:suppressLineNumbers w:val="1"/>
      <w:spacing w:after="120" w:before="120"/>
    </w:pPr>
    <w:rPr>
      <w:rFonts w:cs="FreeSans"/>
      <w:i w:val="1"/>
      <w:iCs w:val="1"/>
      <w:sz w:val="24"/>
      <w:szCs w:val="24"/>
    </w:rPr>
  </w:style>
  <w:style w:type="paragraph" w:styleId="Ndice" w:customStyle="1">
    <w:name w:val="Índice"/>
    <w:basedOn w:val="Normal"/>
    <w:qFormat w:val="1"/>
    <w:pPr>
      <w:suppressLineNumbers w:val="1"/>
    </w:pPr>
    <w:rPr>
      <w:rFonts w:cs="FreeSans"/>
    </w:rPr>
  </w:style>
  <w:style w:type="paragraph" w:styleId="Ttulododocumento">
    <w:name w:val="Title"/>
    <w:basedOn w:val="Normal"/>
    <w:qFormat w:val="1"/>
    <w:pPr>
      <w:keepNext w:val="1"/>
      <w:spacing w:after="120" w:before="240"/>
    </w:pPr>
    <w:rPr>
      <w:rFonts w:ascii="Liberation Sans" w:cs="FreeSans" w:eastAsia="Noto Sans CJK SC Regular" w:hAnsi="Liberation Sans"/>
      <w:sz w:val="28"/>
      <w:szCs w:val="28"/>
    </w:rPr>
  </w:style>
  <w:style w:type="paragraph" w:styleId="Caption">
    <w:name w:val="caption"/>
    <w:basedOn w:val="Normal"/>
    <w:qFormat w:val="1"/>
    <w:pPr>
      <w:suppressLineNumbers w:val="1"/>
      <w:spacing w:after="120" w:before="120"/>
    </w:pPr>
    <w:rPr>
      <w:rFonts w:cs="FreeSans"/>
      <w:i w:val="1"/>
      <w:iCs w:val="1"/>
      <w:sz w:val="24"/>
      <w:szCs w:val="24"/>
    </w:rPr>
  </w:style>
  <w:style w:type="paragraph" w:styleId="Pargrafo" w:customStyle="1">
    <w:name w:val="Parágrafo"/>
    <w:qFormat w:val="1"/>
    <w:rsid w:val="00592BA7"/>
    <w:pPr>
      <w:widowControl w:val="1"/>
      <w:bidi w:val="0"/>
      <w:spacing w:after="0" w:before="0" w:line="360" w:lineRule="auto"/>
      <w:ind w:firstLine="709"/>
      <w:jc w:val="both"/>
    </w:pPr>
    <w:rPr>
      <w:rFonts w:ascii="Times New Roman" w:cs="" w:eastAsia="Calibri" w:hAnsi="Times New Roman" w:cstheme="minorBidi" w:eastAsiaTheme="minorHAnsi"/>
      <w:color w:val="00000a"/>
      <w:sz w:val="24"/>
      <w:szCs w:val="22"/>
      <w:lang w:bidi="ar-SA" w:eastAsia="en-US" w:val="pt-BR"/>
    </w:rPr>
  </w:style>
  <w:style w:type="paragraph" w:styleId="Quote">
    <w:name w:val="Quote"/>
    <w:basedOn w:val="Normal"/>
    <w:next w:val="Normal"/>
    <w:link w:val="CitaoChar"/>
    <w:uiPriority w:val="29"/>
    <w:qFormat w:val="1"/>
    <w:rsid w:val="00C022A3"/>
    <w:pPr>
      <w:spacing w:after="0" w:before="0" w:line="240" w:lineRule="auto"/>
      <w:ind w:left="2268" w:hanging="0"/>
      <w:jc w:val="both"/>
    </w:pPr>
    <w:rPr>
      <w:rFonts w:ascii="Times New Roman" w:hAnsi="Times New Roman"/>
      <w:iCs w:val="1"/>
      <w:color w:val="000000" w:themeColor="text1"/>
      <w:sz w:val="20"/>
    </w:rPr>
  </w:style>
  <w:style w:type="paragraph" w:styleId="Annotationtext">
    <w:name w:val="annotation text"/>
    <w:basedOn w:val="Normal"/>
    <w:link w:val="TextodecomentrioChar"/>
    <w:uiPriority w:val="99"/>
    <w:semiHidden w:val="1"/>
    <w:unhideWhenUsed w:val="1"/>
    <w:qFormat w:val="1"/>
    <w:rsid w:val="00CF7849"/>
    <w:pPr>
      <w:spacing w:line="240" w:lineRule="auto"/>
    </w:pPr>
    <w:rPr>
      <w:sz w:val="20"/>
      <w:szCs w:val="20"/>
    </w:rPr>
  </w:style>
  <w:style w:type="paragraph" w:styleId="Annotationsubject">
    <w:name w:val="annotation subject"/>
    <w:basedOn w:val="Annotationtext"/>
    <w:link w:val="AssuntodocomentrioChar"/>
    <w:uiPriority w:val="99"/>
    <w:semiHidden w:val="1"/>
    <w:unhideWhenUsed w:val="1"/>
    <w:qFormat w:val="1"/>
    <w:rsid w:val="00CF7849"/>
    <w:pPr/>
    <w:rPr>
      <w:b w:val="1"/>
      <w:bCs w:val="1"/>
    </w:rPr>
  </w:style>
  <w:style w:type="paragraph" w:styleId="BalloonText">
    <w:name w:val="Balloon Text"/>
    <w:basedOn w:val="Normal"/>
    <w:link w:val="TextodebaloChar"/>
    <w:uiPriority w:val="99"/>
    <w:semiHidden w:val="1"/>
    <w:unhideWhenUsed w:val="1"/>
    <w:qFormat w:val="1"/>
    <w:rsid w:val="00CF7849"/>
    <w:pPr>
      <w:spacing w:after="0" w:before="0" w:line="240" w:lineRule="auto"/>
    </w:pPr>
    <w:rPr>
      <w:rFonts w:ascii="Segoe UI" w:cs="Segoe UI" w:hAnsi="Segoe UI"/>
      <w:sz w:val="18"/>
      <w:szCs w:val="18"/>
    </w:rPr>
  </w:style>
  <w:style w:type="paragraph" w:styleId="Contefafadodatabela" w:customStyle="1">
    <w:name w:val="Conteúfafado da tabela"/>
    <w:basedOn w:val="Normal"/>
    <w:uiPriority w:val="99"/>
    <w:qFormat w:val="1"/>
    <w:rsid w:val="004962A0"/>
    <w:pPr>
      <w:suppressAutoHyphens w:val="1"/>
      <w:spacing w:after="0" w:before="0" w:line="240" w:lineRule="auto"/>
    </w:pPr>
    <w:rPr>
      <w:rFonts w:ascii="Arial" w:cs="Arial" w:eastAsia="Times New Roman" w:hAnsi="Arial"/>
      <w:color w:val="000000"/>
      <w:sz w:val="20"/>
      <w:szCs w:val="20"/>
      <w:lang w:eastAsia="pt-BR"/>
    </w:rPr>
  </w:style>
  <w:style w:type="numbering" w:styleId="NoList" w:default="1">
    <w:name w:val="No List"/>
    <w:uiPriority w:val="99"/>
    <w:semiHidden w:val="1"/>
    <w:unhideWhenUsed w:val="1"/>
    <w:qFormat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6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65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65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65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65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65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65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65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65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65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65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65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65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65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asa-regular.ttf"/><Relationship Id="rId2" Type="http://schemas.openxmlformats.org/officeDocument/2006/relationships/font" Target="fonts/Rasa-bold.ttf"/><Relationship Id="rId3" Type="http://schemas.openxmlformats.org/officeDocument/2006/relationships/font" Target="fonts/Rasa-italic.ttf"/><Relationship Id="rId4" Type="http://schemas.openxmlformats.org/officeDocument/2006/relationships/font" Target="fonts/Rasa-boldItalic.tt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5rw9u9HE/Bv4SWFv1O9WYbkRYGg==">CgMxLjAyCGguZ2pkZ3hzMgloLjMwajB6bGw4AHIhMXRPNTJEbV82ZDBaeC1Kb3lqUDBZZFczdXZpbDBVQ01w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Burghart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